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15F" w:rsidRDefault="00795F7A" w:rsidP="00B4015F">
      <w:pPr>
        <w:pStyle w:val="MStitle"/>
      </w:pPr>
      <w:r>
        <w:t>Supplementary data</w:t>
      </w:r>
    </w:p>
    <w:p w:rsidR="0097313F" w:rsidRDefault="0097313F" w:rsidP="00B4015F">
      <w:pPr>
        <w:pStyle w:val="MStitle"/>
      </w:pPr>
    </w:p>
    <w:p w:rsidR="0097313F" w:rsidRDefault="0097313F" w:rsidP="0097313F">
      <w:r>
        <w:t xml:space="preserve">This supplementary data </w:t>
      </w:r>
      <w:r w:rsidR="00BA7543">
        <w:t xml:space="preserve">reports some preliminary experiments carried out on </w:t>
      </w:r>
      <w:r>
        <w:t xml:space="preserve">Iceland </w:t>
      </w:r>
      <w:proofErr w:type="spellStart"/>
      <w:r>
        <w:t>Spath</w:t>
      </w:r>
      <w:proofErr w:type="spellEnd"/>
      <w:r w:rsidR="00BA7543">
        <w:t xml:space="preserve"> crystals</w:t>
      </w:r>
      <w:r>
        <w:t xml:space="preserve"> </w:t>
      </w:r>
      <w:r w:rsidR="00BA7543">
        <w:t xml:space="preserve">ahead of the experiments described in the article with the aim at </w:t>
      </w:r>
      <w:r>
        <w:t>determin</w:t>
      </w:r>
      <w:r w:rsidR="00BA7543">
        <w:t>ing</w:t>
      </w:r>
      <w:r>
        <w:t xml:space="preserve"> the </w:t>
      </w:r>
      <w:r w:rsidR="00BA7543">
        <w:t xml:space="preserve">suitable </w:t>
      </w:r>
      <w:r>
        <w:t xml:space="preserve">loading conditions to </w:t>
      </w:r>
      <w:r w:rsidR="00BA7543">
        <w:t xml:space="preserve">be </w:t>
      </w:r>
      <w:r>
        <w:t>appl</w:t>
      </w:r>
      <w:r w:rsidR="00BA7543">
        <w:t>ied</w:t>
      </w:r>
      <w:r>
        <w:t xml:space="preserve"> to the strain-free synthetic calcite crystals, purchased from </w:t>
      </w:r>
      <w:proofErr w:type="spellStart"/>
      <w:r>
        <w:t>SurfaceNet</w:t>
      </w:r>
      <w:proofErr w:type="spellEnd"/>
      <w:r>
        <w:t xml:space="preserve"> supplier. As explained in the article, the purpose of the study is to </w:t>
      </w:r>
      <w:r w:rsidR="00BA7543">
        <w:t>constrain</w:t>
      </w:r>
      <w:r>
        <w:t xml:space="preserve"> the critical resolved shear stress (CRSS) for twinning activation, and therefore it is needed to apply </w:t>
      </w:r>
      <w:proofErr w:type="gramStart"/>
      <w:r>
        <w:t>an</w:t>
      </w:r>
      <w:proofErr w:type="gramEnd"/>
      <w:r>
        <w:t xml:space="preserve"> uniaxial stress state to a completely strain-free crystal. However, Iceland </w:t>
      </w:r>
      <w:proofErr w:type="spellStart"/>
      <w:r>
        <w:t>Spath</w:t>
      </w:r>
      <w:proofErr w:type="spellEnd"/>
      <w:r>
        <w:t xml:space="preserve"> </w:t>
      </w:r>
      <w:r w:rsidR="00BA7543">
        <w:t xml:space="preserve">crystals </w:t>
      </w:r>
      <w:r>
        <w:t>always contain a few cleavages and/or twinned planes, in addition to substantial amounts of micro-fluid inclusions, which preclude</w:t>
      </w:r>
      <w:r w:rsidR="00BA7543">
        <w:t>s</w:t>
      </w:r>
      <w:r>
        <w:t xml:space="preserve"> the possibility to precisely infer the desired CRSS value. They were </w:t>
      </w:r>
      <w:r w:rsidR="00BA7543">
        <w:t xml:space="preserve">consequently </w:t>
      </w:r>
      <w:r>
        <w:t xml:space="preserve">used to establish the </w:t>
      </w:r>
      <w:r w:rsidR="00BA7543">
        <w:t xml:space="preserve">most suitable </w:t>
      </w:r>
      <w:r>
        <w:t xml:space="preserve">deformation protocol in terms of sample preparation, loading rates, and conditions for in the situ optical/SEM monitoring. This preparation phase allowed for instance to select the best appropriate CCD cameras and to establish the SEM imaging conditions. </w:t>
      </w:r>
      <w:r w:rsidR="00F459E6">
        <w:t>The results presented in this supplementary data are the one with the same experimental conditions than in the main text.</w:t>
      </w:r>
    </w:p>
    <w:p w:rsidR="00F2200D" w:rsidRDefault="00C82F79" w:rsidP="004B156E">
      <w:pPr>
        <w:pStyle w:val="Titre1"/>
      </w:pPr>
      <w:r w:rsidRPr="00E3231D">
        <w:t>1</w:t>
      </w:r>
      <w:r w:rsidR="00E3231D">
        <w:t xml:space="preserve"> Sample</w:t>
      </w:r>
      <w:r w:rsidRPr="00E3231D">
        <w:t xml:space="preserve"> </w:t>
      </w:r>
      <w:r w:rsidR="00E3231D" w:rsidRPr="00E3231D">
        <w:t>4 x 4 x 8 mm</w:t>
      </w:r>
      <w:r w:rsidR="00E3231D" w:rsidRPr="00E3231D">
        <w:rPr>
          <w:vertAlign w:val="superscript"/>
        </w:rPr>
        <w:t>3</w:t>
      </w:r>
      <w:r w:rsidR="00E3231D" w:rsidRPr="00E3231D">
        <w:t xml:space="preserve"> compressed along </w:t>
      </w:r>
      <m:oMath>
        <m:d>
          <m:dPr>
            <m:begChr m:val="["/>
            <m:endChr m:val="]"/>
            <m:ctrlPr>
              <w:rPr>
                <w:rFonts w:ascii="Cambria Math" w:hAnsi="Cambria Math"/>
                <w:i/>
              </w:rPr>
            </m:ctrlPr>
          </m:dPr>
          <m:e>
            <m:r>
              <m:rPr>
                <m:sty m:val="bi"/>
              </m:rPr>
              <w:rPr>
                <w:rFonts w:ascii="Cambria Math" w:hAnsi="Cambria Math"/>
              </w:rPr>
              <m:t>2</m:t>
            </m:r>
            <m:acc>
              <m:accPr>
                <m:chr m:val="̅"/>
                <m:ctrlPr>
                  <w:rPr>
                    <w:rFonts w:ascii="Cambria Math" w:hAnsi="Cambria Math"/>
                    <w:i/>
                  </w:rPr>
                </m:ctrlPr>
              </m:accPr>
              <m:e>
                <m:r>
                  <m:rPr>
                    <m:sty m:val="bi"/>
                  </m:rPr>
                  <w:rPr>
                    <w:rFonts w:ascii="Cambria Math" w:hAnsi="Cambria Math"/>
                  </w:rPr>
                  <m:t>1</m:t>
                </m:r>
              </m:e>
            </m:acc>
            <m:acc>
              <m:accPr>
                <m:chr m:val="̅"/>
                <m:ctrlPr>
                  <w:rPr>
                    <w:rFonts w:ascii="Cambria Math" w:hAnsi="Cambria Math"/>
                    <w:i/>
                  </w:rPr>
                </m:ctrlPr>
              </m:accPr>
              <m:e>
                <m:r>
                  <m:rPr>
                    <m:sty m:val="bi"/>
                  </m:rPr>
                  <w:rPr>
                    <w:rFonts w:ascii="Cambria Math" w:hAnsi="Cambria Math"/>
                  </w:rPr>
                  <m:t>1</m:t>
                </m:r>
              </m:e>
            </m:acc>
            <m:r>
              <m:rPr>
                <m:sty m:val="bi"/>
              </m:rPr>
              <w:rPr>
                <w:rFonts w:ascii="Cambria Math" w:hAnsi="Cambria Math"/>
              </w:rPr>
              <m:t>0</m:t>
            </m:r>
          </m:e>
        </m:d>
      </m:oMath>
    </w:p>
    <w:p w:rsidR="00C82F79" w:rsidRPr="005C655B" w:rsidRDefault="005C655B" w:rsidP="005C655B">
      <w:r>
        <w:t xml:space="preserve">Figure 1 shows the loading curve of the first experiment carried out on a small </w:t>
      </w:r>
      <w:r w:rsidR="005C7578">
        <w:t xml:space="preserve">synthetic </w:t>
      </w:r>
      <w:r>
        <w:t>sample (4 x 4 x 8 mm</w:t>
      </w:r>
      <w:r w:rsidRPr="005C655B">
        <w:rPr>
          <w:vertAlign w:val="superscript"/>
        </w:rPr>
        <w:t>3</w:t>
      </w:r>
      <w:r>
        <w:t xml:space="preserve">), compressed along </w:t>
      </w:r>
      <m:oMath>
        <m:d>
          <m:dPr>
            <m:begChr m:val="["/>
            <m:endChr m:val="]"/>
            <m:ctrlPr>
              <w:rPr>
                <w:rFonts w:ascii="Cambria Math" w:hAnsi="Cambria Math"/>
                <w:i/>
              </w:rPr>
            </m:ctrlPr>
          </m:dPr>
          <m:e>
            <m:r>
              <w:rPr>
                <w:rFonts w:ascii="Cambria Math" w:hAnsi="Cambria Math"/>
              </w:rPr>
              <m:t>2</m:t>
            </m:r>
            <m:acc>
              <m:accPr>
                <m:chr m:val="̅"/>
                <m:ctrlPr>
                  <w:rPr>
                    <w:rFonts w:ascii="Cambria Math" w:hAnsi="Cambria Math"/>
                    <w:i/>
                  </w:rPr>
                </m:ctrlPr>
              </m:accPr>
              <m:e>
                <m:r>
                  <w:rPr>
                    <w:rFonts w:ascii="Cambria Math" w:hAnsi="Cambria Math"/>
                  </w:rPr>
                  <m:t>1</m:t>
                </m:r>
              </m:e>
            </m:acc>
            <m:acc>
              <m:accPr>
                <m:chr m:val="̅"/>
                <m:ctrlPr>
                  <w:rPr>
                    <w:rFonts w:ascii="Cambria Math" w:hAnsi="Cambria Math"/>
                    <w:i/>
                  </w:rPr>
                </m:ctrlPr>
              </m:accPr>
              <m:e>
                <m:r>
                  <w:rPr>
                    <w:rFonts w:ascii="Cambria Math" w:hAnsi="Cambria Math"/>
                  </w:rPr>
                  <m:t>1</m:t>
                </m:r>
              </m:e>
            </m:acc>
            <m:r>
              <w:rPr>
                <w:rFonts w:ascii="Cambria Math" w:hAnsi="Cambria Math"/>
              </w:rPr>
              <m:t>0</m:t>
            </m:r>
          </m:e>
        </m:d>
      </m:oMath>
      <w:r>
        <w:t xml:space="preserve"> (configuration 1</w:t>
      </w:r>
      <w:r w:rsidR="005C7578">
        <w:t xml:space="preserve">, shown </w:t>
      </w:r>
      <w:r>
        <w:t xml:space="preserve">in Fig. 1 </w:t>
      </w:r>
      <w:r w:rsidR="00934E95">
        <w:t>in</w:t>
      </w:r>
      <w:r>
        <w:t xml:space="preserve"> the article</w:t>
      </w:r>
      <w:r w:rsidR="005C7578">
        <w:t xml:space="preserve"> main text</w:t>
      </w:r>
      <w:r>
        <w:t>). The specimen was first deformed until 1% shortening</w:t>
      </w:r>
      <w:r w:rsidR="005C7578">
        <w:t xml:space="preserve">, reaching </w:t>
      </w:r>
      <w:r>
        <w:t xml:space="preserve">stage </w:t>
      </w:r>
      <w:proofErr w:type="spellStart"/>
      <w:r>
        <w:t>IIIa</w:t>
      </w:r>
      <w:proofErr w:type="spellEnd"/>
      <w:r w:rsidR="00F459E6">
        <w:t xml:space="preserve"> (plastic deformation with constant hardening)</w:t>
      </w:r>
      <w:r>
        <w:t xml:space="preserve">. The very first twins were detected at about 0.7% shortening. Twin activity progressively increased during strain hardening, which is indicated by the numerous drops of axial stress (serrations). After reaching 0.85% shortening the specimen was completely unloaded and removed for observations, prior to a second compression test. During the second loading, the sample rapidly reached the stage </w:t>
      </w:r>
      <w:proofErr w:type="spellStart"/>
      <w:r>
        <w:t>IIIb</w:t>
      </w:r>
      <w:proofErr w:type="spellEnd"/>
      <w:r>
        <w:t>, characterized by nearly steady state flow stress. This “plateau-like” curve is serrated, composed of numerous and regular segments, corresponding to strain hardening stages followed by sudden stress drops. The test was stopped at about 15 % shortening (Fig. 1). The sample entirely broke</w:t>
      </w:r>
      <w:r w:rsidR="00027A3D">
        <w:t xml:space="preserve"> apart</w:t>
      </w:r>
      <w:r>
        <w:t xml:space="preserve"> after removing from the uniaxial press.</w:t>
      </w:r>
      <w:r w:rsidR="00D502AE">
        <w:t xml:space="preserve"> </w:t>
      </w:r>
      <w:r w:rsidR="00D502AE">
        <w:rPr>
          <w:szCs w:val="20"/>
        </w:rPr>
        <w:t xml:space="preserve">During the stage </w:t>
      </w:r>
      <w:proofErr w:type="spellStart"/>
      <w:r w:rsidR="00D502AE">
        <w:rPr>
          <w:szCs w:val="20"/>
        </w:rPr>
        <w:t>IIIa</w:t>
      </w:r>
      <w:proofErr w:type="spellEnd"/>
      <w:r w:rsidR="00D502AE">
        <w:rPr>
          <w:szCs w:val="20"/>
        </w:rPr>
        <w:t xml:space="preserve">, the sample was removed from the uniaxial press to determine the twin lamellae crystallographic orientation using EBSD. This orientation was used to calculate the </w:t>
      </w:r>
      <w:proofErr w:type="spellStart"/>
      <w:r w:rsidR="00D502AE">
        <w:rPr>
          <w:szCs w:val="20"/>
        </w:rPr>
        <w:t>Schmid’s</w:t>
      </w:r>
      <w:proofErr w:type="spellEnd"/>
      <w:r w:rsidR="00D502AE">
        <w:rPr>
          <w:szCs w:val="20"/>
        </w:rPr>
        <w:t xml:space="preserve"> factor and the associated applied resolved shear stress and particularly the value at </w:t>
      </w:r>
      <w:r w:rsidR="00A26C04">
        <w:rPr>
          <w:szCs w:val="20"/>
        </w:rPr>
        <w:t xml:space="preserve">the onset of </w:t>
      </w:r>
      <w:r w:rsidR="00D502AE">
        <w:rPr>
          <w:szCs w:val="20"/>
        </w:rPr>
        <w:t>twin activation</w:t>
      </w:r>
      <w:r w:rsidR="00F459E6">
        <w:rPr>
          <w:szCs w:val="20"/>
        </w:rPr>
        <w:t xml:space="preserve"> </w:t>
      </w:r>
      <w:r w:rsidR="00D502AE">
        <w:rPr>
          <w:szCs w:val="20"/>
        </w:rPr>
        <w:t xml:space="preserve">(CRSS). The results show </w:t>
      </w:r>
      <w:r w:rsidR="003C41D5">
        <w:rPr>
          <w:szCs w:val="20"/>
        </w:rPr>
        <w:t xml:space="preserve">(Fig. 1) </w:t>
      </w:r>
      <w:r w:rsidR="00D502AE">
        <w:rPr>
          <w:szCs w:val="20"/>
        </w:rPr>
        <w:t xml:space="preserve">that for all the samples the expected </w:t>
      </w:r>
      <w:r w:rsidR="00CD55C4">
        <w:rPr>
          <w:szCs w:val="20"/>
        </w:rPr>
        <w:t>twin lamella family was</w:t>
      </w:r>
      <w:r w:rsidR="00D502AE">
        <w:rPr>
          <w:szCs w:val="20"/>
        </w:rPr>
        <w:t xml:space="preserve"> activated during the experiments</w:t>
      </w:r>
      <w:r w:rsidR="00D502AE" w:rsidRPr="00CD55C4">
        <w:rPr>
          <w:szCs w:val="20"/>
        </w:rPr>
        <w:t xml:space="preserve">. </w:t>
      </w:r>
      <w:r w:rsidR="00D502AE">
        <w:rPr>
          <w:szCs w:val="20"/>
        </w:rPr>
        <w:t>For the present orientation, with loading along</w:t>
      </w:r>
      <w:r w:rsidR="003B3A42" w:rsidRPr="003B3A42">
        <w:rPr>
          <w:szCs w:val="20"/>
        </w:rPr>
        <w:t xml:space="preserve"> </w:t>
      </w:r>
      <m:oMath>
        <m:d>
          <m:dPr>
            <m:begChr m:val="["/>
            <m:endChr m:val="]"/>
            <m:ctrlPr>
              <w:rPr>
                <w:rFonts w:ascii="Cambria Math" w:hAnsi="Cambria Math"/>
              </w:rPr>
            </m:ctrlPr>
          </m:dPr>
          <m:e>
            <m:r>
              <m:rPr>
                <m:sty m:val="p"/>
              </m:rPr>
              <w:rPr>
                <w:rFonts w:ascii="Cambria Math" w:hAnsi="Cambria Math"/>
              </w:rPr>
              <m:t>2</m:t>
            </m:r>
            <m:acc>
              <m:accPr>
                <m:chr m:val="̅"/>
                <m:ctrlPr>
                  <w:rPr>
                    <w:rFonts w:ascii="Cambria Math" w:hAnsi="Cambria Math"/>
                  </w:rPr>
                </m:ctrlPr>
              </m:accPr>
              <m:e>
                <m:r>
                  <m:rPr>
                    <m:sty m:val="p"/>
                  </m:rPr>
                  <w:rPr>
                    <w:rFonts w:ascii="Cambria Math" w:hAnsi="Cambria Math"/>
                  </w:rPr>
                  <m:t>1</m:t>
                </m:r>
              </m:e>
            </m:acc>
            <m:acc>
              <m:accPr>
                <m:chr m:val="̅"/>
                <m:ctrlPr>
                  <w:rPr>
                    <w:rFonts w:ascii="Cambria Math" w:hAnsi="Cambria Math"/>
                  </w:rPr>
                </m:ctrlPr>
              </m:accPr>
              <m:e>
                <m:r>
                  <m:rPr>
                    <m:sty m:val="p"/>
                  </m:rPr>
                  <w:rPr>
                    <w:rFonts w:ascii="Cambria Math" w:hAnsi="Cambria Math"/>
                  </w:rPr>
                  <m:t>1</m:t>
                </m:r>
              </m:e>
            </m:acc>
            <m:r>
              <m:rPr>
                <m:sty m:val="p"/>
              </m:rPr>
              <w:rPr>
                <w:rFonts w:ascii="Cambria Math" w:hAnsi="Cambria Math"/>
              </w:rPr>
              <m:t>0</m:t>
            </m:r>
          </m:e>
        </m:d>
      </m:oMath>
      <w:r w:rsidR="00D502AE">
        <w:rPr>
          <w:szCs w:val="20"/>
        </w:rPr>
        <w:t>, the calculated Schmid’s factor is 0.39</w:t>
      </w:r>
      <w:r w:rsidR="006E06E8">
        <w:rPr>
          <w:szCs w:val="20"/>
        </w:rPr>
        <w:t xml:space="preserve"> and the corresponding CRSS is 0</w:t>
      </w:r>
      <w:r w:rsidR="00D502AE">
        <w:rPr>
          <w:szCs w:val="20"/>
        </w:rPr>
        <w:t>.</w:t>
      </w:r>
      <w:r w:rsidR="006E06E8">
        <w:rPr>
          <w:szCs w:val="20"/>
        </w:rPr>
        <w:t>66</w:t>
      </w:r>
      <w:r w:rsidR="00D502AE">
        <w:rPr>
          <w:szCs w:val="20"/>
        </w:rPr>
        <w:t xml:space="preserve"> MPa.</w:t>
      </w:r>
      <w:r w:rsidR="004C6FF7">
        <w:rPr>
          <w:szCs w:val="20"/>
        </w:rPr>
        <w:t xml:space="preserve"> This value is </w:t>
      </w:r>
      <w:r w:rsidR="00A34C1F">
        <w:rPr>
          <w:szCs w:val="20"/>
        </w:rPr>
        <w:t xml:space="preserve">only </w:t>
      </w:r>
      <w:r w:rsidR="004C6FF7">
        <w:rPr>
          <w:szCs w:val="20"/>
        </w:rPr>
        <w:t xml:space="preserve">slightly </w:t>
      </w:r>
      <w:r w:rsidR="00A34C1F">
        <w:rPr>
          <w:szCs w:val="20"/>
        </w:rPr>
        <w:t xml:space="preserve">larger </w:t>
      </w:r>
      <w:r w:rsidR="004C6FF7">
        <w:rPr>
          <w:szCs w:val="20"/>
        </w:rPr>
        <w:t>than the CRSS obtained</w:t>
      </w:r>
      <w:r w:rsidR="00F459E6">
        <w:rPr>
          <w:szCs w:val="20"/>
        </w:rPr>
        <w:t xml:space="preserve"> for the sample </w:t>
      </w:r>
      <w:r w:rsidR="004C6FF7">
        <w:rPr>
          <w:szCs w:val="20"/>
        </w:rPr>
        <w:t xml:space="preserve">with </w:t>
      </w:r>
      <w:r w:rsidR="00A26C04">
        <w:rPr>
          <w:szCs w:val="20"/>
        </w:rPr>
        <w:t xml:space="preserve">the </w:t>
      </w:r>
      <w:r w:rsidR="007820B7">
        <w:rPr>
          <w:szCs w:val="20"/>
        </w:rPr>
        <w:t>same</w:t>
      </w:r>
      <w:r w:rsidR="004C6FF7">
        <w:rPr>
          <w:szCs w:val="20"/>
        </w:rPr>
        <w:t xml:space="preserve"> lattice orientation </w:t>
      </w:r>
      <w:r w:rsidR="007820B7">
        <w:rPr>
          <w:szCs w:val="20"/>
        </w:rPr>
        <w:t xml:space="preserve">with respect to loading direction, </w:t>
      </w:r>
      <w:r w:rsidR="004C6FF7">
        <w:rPr>
          <w:szCs w:val="20"/>
        </w:rPr>
        <w:t xml:space="preserve">but </w:t>
      </w:r>
      <w:r w:rsidR="007820B7">
        <w:rPr>
          <w:szCs w:val="20"/>
        </w:rPr>
        <w:t xml:space="preserve">of </w:t>
      </w:r>
      <w:r w:rsidR="004C6FF7">
        <w:rPr>
          <w:szCs w:val="20"/>
        </w:rPr>
        <w:t>smaller</w:t>
      </w:r>
      <w:r w:rsidR="007820B7">
        <w:rPr>
          <w:szCs w:val="20"/>
        </w:rPr>
        <w:t xml:space="preserve"> size</w:t>
      </w:r>
      <w:r w:rsidR="004C6FF7">
        <w:rPr>
          <w:szCs w:val="20"/>
        </w:rPr>
        <w:t xml:space="preserve"> (3 x 3 x 6 mm</w:t>
      </w:r>
      <w:r w:rsidR="004C6FF7" w:rsidRPr="004C6FF7">
        <w:rPr>
          <w:szCs w:val="20"/>
          <w:vertAlign w:val="superscript"/>
        </w:rPr>
        <w:t>3</w:t>
      </w:r>
      <w:r w:rsidR="004C6FF7">
        <w:rPr>
          <w:szCs w:val="20"/>
        </w:rPr>
        <w:t>)</w:t>
      </w:r>
      <w:r w:rsidR="00F459E6">
        <w:rPr>
          <w:szCs w:val="20"/>
        </w:rPr>
        <w:t xml:space="preserve"> described in the main text</w:t>
      </w:r>
      <w:r w:rsidR="004C6FF7">
        <w:rPr>
          <w:szCs w:val="20"/>
        </w:rPr>
        <w:t>.</w:t>
      </w:r>
    </w:p>
    <w:p w:rsidR="00C82F79" w:rsidRDefault="007143DB" w:rsidP="007143DB">
      <w:pPr>
        <w:pStyle w:val="Titre1"/>
      </w:pPr>
      <w:r>
        <w:lastRenderedPageBreak/>
        <w:t xml:space="preserve">2 Iceland </w:t>
      </w:r>
      <w:proofErr w:type="spellStart"/>
      <w:r>
        <w:t>Spaths</w:t>
      </w:r>
      <w:proofErr w:type="spellEnd"/>
    </w:p>
    <w:p w:rsidR="007143DB" w:rsidRPr="00690E87" w:rsidRDefault="007143DB" w:rsidP="007143DB">
      <w:pPr>
        <w:pStyle w:val="Titre2"/>
      </w:pPr>
      <w:r w:rsidRPr="00690E87">
        <w:t xml:space="preserve">2.1 </w:t>
      </w:r>
      <w:r w:rsidR="00C0657B" w:rsidRPr="00690E87">
        <w:t>“</w:t>
      </w:r>
      <w:r w:rsidRPr="00690E87">
        <w:t>Pita</w:t>
      </w:r>
      <w:r w:rsidR="00C0657B" w:rsidRPr="00690E87">
        <w:t>”</w:t>
      </w:r>
      <w:r w:rsidRPr="00690E87">
        <w:t xml:space="preserve"> Sample</w:t>
      </w:r>
    </w:p>
    <w:p w:rsidR="007143DB" w:rsidRDefault="00224AE9" w:rsidP="007143DB">
      <w:r>
        <w:t xml:space="preserve">The sample is </w:t>
      </w:r>
      <w:r w:rsidR="00FD2470">
        <w:t xml:space="preserve">a </w:t>
      </w:r>
      <w:r w:rsidR="00FD2470" w:rsidRPr="00E572A5">
        <w:t>parallelepiped</w:t>
      </w:r>
      <w:r w:rsidR="00FD2470">
        <w:t xml:space="preserve"> of </w:t>
      </w:r>
      <w:r>
        <w:t>3.16 x 5.26 x 5.71 mm</w:t>
      </w:r>
      <w:r w:rsidRPr="00224AE9">
        <w:rPr>
          <w:vertAlign w:val="superscript"/>
        </w:rPr>
        <w:t>3</w:t>
      </w:r>
      <w:r w:rsidR="00FD2470">
        <w:t xml:space="preserve"> in size.</w:t>
      </w:r>
      <w:r>
        <w:t xml:space="preserve"> </w:t>
      </w:r>
      <w:r w:rsidR="0047178A">
        <w:t xml:space="preserve">The </w:t>
      </w:r>
      <w:r w:rsidR="000C4377">
        <w:t xml:space="preserve">applied </w:t>
      </w:r>
      <w:r w:rsidR="004A214E">
        <w:t xml:space="preserve">constant loading rate </w:t>
      </w:r>
      <w:r w:rsidR="004604F9">
        <w:t>is of 5 x 10</w:t>
      </w:r>
      <w:r w:rsidR="004604F9" w:rsidRPr="0047178A">
        <w:rPr>
          <w:vertAlign w:val="superscript"/>
        </w:rPr>
        <w:t>-5</w:t>
      </w:r>
      <w:r w:rsidR="004604F9">
        <w:t xml:space="preserve"> mm/s</w:t>
      </w:r>
      <w:r w:rsidR="00E572A5">
        <w:t xml:space="preserve"> (along the greatest axis)</w:t>
      </w:r>
      <w:r w:rsidR="004604F9">
        <w:t xml:space="preserve">, which </w:t>
      </w:r>
      <w:r w:rsidR="004A214E">
        <w:t xml:space="preserve">results in </w:t>
      </w:r>
      <w:r w:rsidR="00493527">
        <w:t>a</w:t>
      </w:r>
      <w:r w:rsidR="004A214E">
        <w:t xml:space="preserve"> </w:t>
      </w:r>
      <w:r w:rsidR="0086194A">
        <w:t xml:space="preserve">uniaxial </w:t>
      </w:r>
      <w:r w:rsidR="0047178A">
        <w:t xml:space="preserve">strain rate </w:t>
      </w:r>
      <w:r w:rsidR="0086194A">
        <w:t>of about 10</w:t>
      </w:r>
      <w:r w:rsidR="0086194A" w:rsidRPr="0047178A">
        <w:rPr>
          <w:vertAlign w:val="superscript"/>
        </w:rPr>
        <w:t>-5</w:t>
      </w:r>
      <w:r w:rsidR="007B010A">
        <w:t xml:space="preserve"> s</w:t>
      </w:r>
      <w:r w:rsidR="007B010A" w:rsidRPr="0047178A">
        <w:rPr>
          <w:vertAlign w:val="superscript"/>
        </w:rPr>
        <w:t>-</w:t>
      </w:r>
      <w:r w:rsidR="007B010A">
        <w:rPr>
          <w:vertAlign w:val="superscript"/>
        </w:rPr>
        <w:t>1</w:t>
      </w:r>
      <w:r w:rsidR="0047178A">
        <w:t xml:space="preserve">. In Figure 2 are </w:t>
      </w:r>
      <w:r w:rsidR="00553CE8">
        <w:t xml:space="preserve">represented </w:t>
      </w:r>
      <w:r w:rsidR="0047178A">
        <w:t xml:space="preserve">the results of the experiment. The different stages of deformation are </w:t>
      </w:r>
      <w:r w:rsidR="00553CE8">
        <w:t>indicated</w:t>
      </w:r>
      <w:r w:rsidR="0047178A">
        <w:t xml:space="preserve">, like for the others samples. </w:t>
      </w:r>
      <w:r w:rsidR="00553CE8">
        <w:t>An early micro</w:t>
      </w:r>
      <w:r w:rsidR="00D51A7B">
        <w:t>-</w:t>
      </w:r>
      <w:r w:rsidR="006755C7">
        <w:t>fracture developed</w:t>
      </w:r>
      <w:r w:rsidR="00553CE8">
        <w:t xml:space="preserve"> during the</w:t>
      </w:r>
      <w:r w:rsidR="00493527">
        <w:t xml:space="preserve"> </w:t>
      </w:r>
      <w:r w:rsidR="00553CE8">
        <w:t>s</w:t>
      </w:r>
      <w:r w:rsidR="0047178A">
        <w:t xml:space="preserve">tage </w:t>
      </w:r>
      <w:proofErr w:type="gramStart"/>
      <w:r w:rsidR="0047178A">
        <w:t>I</w:t>
      </w:r>
      <w:proofErr w:type="gramEnd"/>
      <w:r w:rsidR="0047178A">
        <w:t xml:space="preserve"> </w:t>
      </w:r>
      <w:r w:rsidR="00553CE8">
        <w:t>(</w:t>
      </w:r>
      <w:r w:rsidR="0047178A">
        <w:t xml:space="preserve">phase-in </w:t>
      </w:r>
      <w:r w:rsidR="00D51A7B">
        <w:t>or emplacement stage</w:t>
      </w:r>
      <w:r w:rsidR="00553CE8">
        <w:t>)</w:t>
      </w:r>
      <w:r w:rsidR="006755C7">
        <w:t xml:space="preserve"> and</w:t>
      </w:r>
      <w:r w:rsidR="00AF1660">
        <w:t xml:space="preserve"> ran a</w:t>
      </w:r>
      <w:r w:rsidR="0047178A">
        <w:t>cross the</w:t>
      </w:r>
      <w:r w:rsidR="00CA3493">
        <w:t xml:space="preserve"> entire</w:t>
      </w:r>
      <w:r w:rsidR="0047178A">
        <w:t xml:space="preserve"> crystal </w:t>
      </w:r>
      <w:r w:rsidR="006755C7">
        <w:t xml:space="preserve">by </w:t>
      </w:r>
      <w:r w:rsidR="00CA3493">
        <w:t>the end of the stage I (Figure 2B). T</w:t>
      </w:r>
      <w:r w:rsidR="005E1455">
        <w:t>he early initiation of t</w:t>
      </w:r>
      <w:r w:rsidR="00CA3493">
        <w:t xml:space="preserve">his fracture can be explained by </w:t>
      </w:r>
      <w:r w:rsidR="00A26C04">
        <w:t xml:space="preserve">a </w:t>
      </w:r>
      <w:r w:rsidR="00131D96">
        <w:t>lack of</w:t>
      </w:r>
      <w:r w:rsidR="00CA3493">
        <w:t xml:space="preserve"> parallel</w:t>
      </w:r>
      <w:r w:rsidR="005E1455">
        <w:t>ism</w:t>
      </w:r>
      <w:r w:rsidR="00CA3493">
        <w:t xml:space="preserve"> of the </w:t>
      </w:r>
      <w:r w:rsidR="005E1455">
        <w:t xml:space="preserve">loaded </w:t>
      </w:r>
      <w:r w:rsidR="00CA3493">
        <w:t>sample faces</w:t>
      </w:r>
      <w:r w:rsidR="005E1455">
        <w:t>,</w:t>
      </w:r>
      <w:r w:rsidR="00CA3493">
        <w:t xml:space="preserve"> </w:t>
      </w:r>
      <w:r w:rsidR="00DF1F14">
        <w:t>leading to</w:t>
      </w:r>
      <w:r w:rsidR="00CA3493">
        <w:t xml:space="preserve"> stress </w:t>
      </w:r>
      <w:r w:rsidR="00DF1F14">
        <w:t xml:space="preserve">concentration at </w:t>
      </w:r>
      <w:r w:rsidR="00CA3493">
        <w:t xml:space="preserve">the bottom </w:t>
      </w:r>
      <w:r w:rsidR="00DF1F14">
        <w:t xml:space="preserve">end </w:t>
      </w:r>
      <w:r w:rsidR="00CA3493">
        <w:t xml:space="preserve">of the sample. </w:t>
      </w:r>
      <w:r w:rsidR="00891590">
        <w:t>Accordingly, t</w:t>
      </w:r>
      <w:r w:rsidR="00CA3493">
        <w:t xml:space="preserve">his part of the sample </w:t>
      </w:r>
      <w:r w:rsidR="00DF1F14">
        <w:t>is also the first to</w:t>
      </w:r>
      <w:r w:rsidR="00CA3493">
        <w:t xml:space="preserve"> </w:t>
      </w:r>
      <w:r w:rsidR="00DF1F14">
        <w:t xml:space="preserve">show </w:t>
      </w:r>
      <w:r w:rsidR="00CA3493">
        <w:t>twin</w:t>
      </w:r>
      <w:r w:rsidR="00DF1F14">
        <w:t>ning</w:t>
      </w:r>
      <w:r w:rsidR="00CA3493">
        <w:t xml:space="preserve"> (</w:t>
      </w:r>
      <w:r w:rsidR="00D95067">
        <w:t xml:space="preserve">1.1% strain, </w:t>
      </w:r>
      <w:r w:rsidR="00CA3493">
        <w:t xml:space="preserve">Figure 2C). </w:t>
      </w:r>
      <w:r w:rsidR="00CC5A6E">
        <w:t>Later on</w:t>
      </w:r>
      <w:r w:rsidR="008B6744">
        <w:t xml:space="preserve"> a second quasi-vertical fracture</w:t>
      </w:r>
      <w:r w:rsidR="00A26C04">
        <w:t xml:space="preserve"> developed</w:t>
      </w:r>
      <w:r w:rsidR="00CC5A6E">
        <w:t xml:space="preserve"> </w:t>
      </w:r>
      <w:r w:rsidR="008B6744">
        <w:t xml:space="preserve">and </w:t>
      </w:r>
      <w:r w:rsidR="00CC5A6E">
        <w:t xml:space="preserve">the sample may have been </w:t>
      </w:r>
      <w:r w:rsidR="00494DD3">
        <w:t xml:space="preserve">split </w:t>
      </w:r>
      <w:r w:rsidR="00A26C04">
        <w:t xml:space="preserve">onwards </w:t>
      </w:r>
      <w:r w:rsidR="00494DD3">
        <w:t xml:space="preserve">into distinct parts, as suggested by the distinct evolution of twins on both sides of the fractures. </w:t>
      </w:r>
      <w:r w:rsidR="00CC5A6E">
        <w:t xml:space="preserve"> </w:t>
      </w:r>
      <w:r w:rsidR="00CA3493">
        <w:t>The upper part of the crystal twin</w:t>
      </w:r>
      <w:r w:rsidR="00E0022C">
        <w:t>n</w:t>
      </w:r>
      <w:r w:rsidR="009071C1">
        <w:t>ed</w:t>
      </w:r>
      <w:r w:rsidR="00CA3493">
        <w:t xml:space="preserve"> later (Figure 2D) at a </w:t>
      </w:r>
      <w:r w:rsidR="009071C1">
        <w:t xml:space="preserve">higher </w:t>
      </w:r>
      <w:r w:rsidR="00CA3493">
        <w:t>stress value</w:t>
      </w:r>
      <w:r w:rsidR="009071C1">
        <w:t>,</w:t>
      </w:r>
      <w:r w:rsidR="00CA3493">
        <w:t xml:space="preserve"> before reaching the “plateau-like” part of the curve </w:t>
      </w:r>
      <w:r w:rsidR="00E60FF5">
        <w:t>(Figure 2E)</w:t>
      </w:r>
      <w:r w:rsidR="00A67244">
        <w:t>.</w:t>
      </w:r>
      <w:r w:rsidR="00E60FF5">
        <w:t xml:space="preserve"> </w:t>
      </w:r>
      <w:r w:rsidR="00A67244">
        <w:t xml:space="preserve">The latter is </w:t>
      </w:r>
      <w:r w:rsidR="00CA3493">
        <w:t xml:space="preserve">composed of numerous and regular segments corresponding to strain hardening stages followed by sudden stress drops. </w:t>
      </w:r>
      <w:r w:rsidR="0000085C">
        <w:t>This part of the curve correspond</w:t>
      </w:r>
      <w:r w:rsidR="00F9770C">
        <w:t>s</w:t>
      </w:r>
      <w:r w:rsidR="0000085C">
        <w:t xml:space="preserve"> to </w:t>
      </w:r>
      <w:r w:rsidR="00745434">
        <w:t xml:space="preserve">the highest </w:t>
      </w:r>
      <w:r w:rsidR="0000085C">
        <w:t>densification of the twinned planes in the upper part of the crystal</w:t>
      </w:r>
      <w:r w:rsidR="00D54E4E">
        <w:t>, but also to the development of a network of micro-fractures</w:t>
      </w:r>
      <w:r w:rsidR="0000085C">
        <w:t xml:space="preserve">. The </w:t>
      </w:r>
      <w:r w:rsidR="00CC3E5A">
        <w:t xml:space="preserve">small </w:t>
      </w:r>
      <w:r w:rsidR="0000085C">
        <w:t xml:space="preserve">bottom </w:t>
      </w:r>
      <w:r w:rsidR="00D54E4E">
        <w:t xml:space="preserve">corner </w:t>
      </w:r>
      <w:r w:rsidR="0000085C">
        <w:t xml:space="preserve">part </w:t>
      </w:r>
      <w:r w:rsidR="00D54E4E">
        <w:t xml:space="preserve">did not show </w:t>
      </w:r>
      <w:r w:rsidR="00A26C04">
        <w:t xml:space="preserve">any </w:t>
      </w:r>
      <w:r w:rsidR="0000085C">
        <w:t>twin densification</w:t>
      </w:r>
      <w:r w:rsidR="00D54E4E">
        <w:t xml:space="preserve">, suggesting </w:t>
      </w:r>
      <w:r w:rsidR="005D642D">
        <w:t>de-cohesion from the larger upper part, which remained the load bearing part of the crystal.</w:t>
      </w:r>
      <w:r w:rsidR="00CC3E5A">
        <w:t xml:space="preserve"> Thi</w:t>
      </w:r>
      <w:r w:rsidR="00E0022C">
        <w:t>s</w:t>
      </w:r>
      <w:r w:rsidR="00CC3E5A">
        <w:t xml:space="preserve"> fracture network finally led to the collapse of the sample at the end of the experiment.</w:t>
      </w:r>
      <w:r w:rsidR="00376D06">
        <w:t xml:space="preserve"> </w:t>
      </w:r>
      <w:r w:rsidR="00807C97">
        <w:t xml:space="preserve">The “Pita” sample has been cut from the same Iceland </w:t>
      </w:r>
      <w:proofErr w:type="spellStart"/>
      <w:r w:rsidR="00807C97">
        <w:t>Spath</w:t>
      </w:r>
      <w:proofErr w:type="spellEnd"/>
      <w:r w:rsidR="00807C97">
        <w:t xml:space="preserve"> and is supposed to have the same orientation than “Johnny”, within relative degrees of Johnny’s preparation.</w:t>
      </w:r>
      <w:r w:rsidR="005540C4">
        <w:t xml:space="preserve"> Then, the </w:t>
      </w:r>
      <w:proofErr w:type="spellStart"/>
      <w:r w:rsidR="005540C4">
        <w:t>Schmid</w:t>
      </w:r>
      <w:proofErr w:type="spellEnd"/>
      <w:r w:rsidR="005540C4">
        <w:t xml:space="preserve"> factor is supposed </w:t>
      </w:r>
      <w:r w:rsidR="00A26C04">
        <w:t>to be about</w:t>
      </w:r>
      <w:r w:rsidR="005540C4">
        <w:t xml:space="preserve"> 0.16.</w:t>
      </w:r>
      <w:r w:rsidR="009B6D7D">
        <w:t xml:space="preserve"> The applied stress at the appearance of the first twin lamella is 20 </w:t>
      </w:r>
      <w:proofErr w:type="spellStart"/>
      <w:r w:rsidR="009B6D7D">
        <w:t>MPa</w:t>
      </w:r>
      <w:proofErr w:type="spellEnd"/>
      <w:r w:rsidR="009B6D7D">
        <w:t xml:space="preserve"> in the upper part of the crystal still holding the stress. Accordingly, the CRSS value is calculated at about 3.2 MPa.</w:t>
      </w:r>
    </w:p>
    <w:p w:rsidR="00376D06" w:rsidRDefault="00376D06" w:rsidP="00376D06">
      <w:pPr>
        <w:pStyle w:val="Titre2"/>
      </w:pPr>
      <w:r>
        <w:t xml:space="preserve">2.2 </w:t>
      </w:r>
      <w:r w:rsidR="00C0657B">
        <w:t>“</w:t>
      </w:r>
      <w:r>
        <w:t>Johnny</w:t>
      </w:r>
      <w:r w:rsidR="00C0657B">
        <w:t>”</w:t>
      </w:r>
      <w:r>
        <w:t xml:space="preserve"> Sample</w:t>
      </w:r>
    </w:p>
    <w:p w:rsidR="00376D06" w:rsidRDefault="00970660" w:rsidP="00376D06">
      <w:r>
        <w:t>The sample is</w:t>
      </w:r>
      <w:r w:rsidR="00C11322">
        <w:t xml:space="preserve"> a </w:t>
      </w:r>
      <w:r w:rsidR="00C11322" w:rsidRPr="00493527">
        <w:t>parallelepiped</w:t>
      </w:r>
      <w:r w:rsidR="00C11322">
        <w:t xml:space="preserve"> of</w:t>
      </w:r>
      <w:r>
        <w:t xml:space="preserve"> 3.58 x 3.75 x 6.57 mm</w:t>
      </w:r>
      <w:r w:rsidRPr="00970660">
        <w:rPr>
          <w:vertAlign w:val="superscript"/>
        </w:rPr>
        <w:t>3</w:t>
      </w:r>
      <w:r w:rsidR="00C11322">
        <w:t xml:space="preserve"> in size.</w:t>
      </w:r>
      <w:r>
        <w:t xml:space="preserve"> The </w:t>
      </w:r>
      <w:r w:rsidR="006E5C03">
        <w:t xml:space="preserve">loading </w:t>
      </w:r>
      <w:r>
        <w:t>rate during the uniaxial deformation is of 6 x 10</w:t>
      </w:r>
      <w:r w:rsidRPr="00970660">
        <w:rPr>
          <w:vertAlign w:val="superscript"/>
        </w:rPr>
        <w:t>-5</w:t>
      </w:r>
      <w:r>
        <w:t xml:space="preserve"> mm/s</w:t>
      </w:r>
      <w:r w:rsidR="0085532F">
        <w:t xml:space="preserve"> </w:t>
      </w:r>
      <w:r w:rsidR="0085532F">
        <w:t>(along the greatest axis</w:t>
      </w:r>
      <w:r w:rsidR="0085532F">
        <w:t>, 6.57 mm</w:t>
      </w:r>
      <w:r w:rsidR="0085532F">
        <w:t>)</w:t>
      </w:r>
      <w:r w:rsidR="006E5C03">
        <w:t xml:space="preserve">, which results in </w:t>
      </w:r>
      <w:r w:rsidR="002913D7">
        <w:t>a</w:t>
      </w:r>
      <w:r w:rsidR="006E5C03">
        <w:t xml:space="preserve"> uniaxial strain rate of about 10</w:t>
      </w:r>
      <w:r w:rsidR="006E5C03" w:rsidRPr="0047178A">
        <w:rPr>
          <w:vertAlign w:val="superscript"/>
        </w:rPr>
        <w:t>-5</w:t>
      </w:r>
      <w:r w:rsidR="00564EBB">
        <w:t xml:space="preserve"> s</w:t>
      </w:r>
      <w:r w:rsidR="00564EBB" w:rsidRPr="0047178A">
        <w:rPr>
          <w:vertAlign w:val="superscript"/>
        </w:rPr>
        <w:t>-</w:t>
      </w:r>
      <w:r w:rsidR="00564EBB">
        <w:rPr>
          <w:vertAlign w:val="superscript"/>
        </w:rPr>
        <w:t>1</w:t>
      </w:r>
      <w:r>
        <w:t>.</w:t>
      </w:r>
      <w:r w:rsidR="00DF1921">
        <w:t xml:space="preserve"> In this experiment, the phase-in period </w:t>
      </w:r>
      <w:r w:rsidR="00702A94">
        <w:t xml:space="preserve">(stage I) </w:t>
      </w:r>
      <w:r w:rsidR="00013190">
        <w:t xml:space="preserve">is </w:t>
      </w:r>
      <w:r w:rsidR="00DF1921">
        <w:t xml:space="preserve">quite long due to </w:t>
      </w:r>
      <w:r w:rsidR="000A6EB3">
        <w:t>an obvious lack of parallelism of the left hand loaded face</w:t>
      </w:r>
      <w:r w:rsidR="00F7571E">
        <w:t>. The progressive emplacement until the whole face becomes in contact with the piston is shown in</w:t>
      </w:r>
      <w:r w:rsidR="000A6EB3">
        <w:t xml:space="preserve"> </w:t>
      </w:r>
      <w:r w:rsidR="00DF1921">
        <w:t>Figure</w:t>
      </w:r>
      <w:r w:rsidR="00F7571E">
        <w:t>s</w:t>
      </w:r>
      <w:r w:rsidR="00DF1921">
        <w:t xml:space="preserve"> 3</w:t>
      </w:r>
      <w:r w:rsidR="004A4BB6">
        <w:t xml:space="preserve">A, </w:t>
      </w:r>
      <w:r w:rsidR="00DF1921">
        <w:t>B</w:t>
      </w:r>
      <w:r w:rsidR="00173997">
        <w:t xml:space="preserve"> and C</w:t>
      </w:r>
      <w:r w:rsidR="00DF1921">
        <w:t>.</w:t>
      </w:r>
      <w:r w:rsidR="00FF7EDA">
        <w:t xml:space="preserve"> </w:t>
      </w:r>
      <w:r w:rsidR="000F61C4">
        <w:t xml:space="preserve">Qualitatively the loading curve shows all of </w:t>
      </w:r>
      <w:r w:rsidR="00722C26">
        <w:t xml:space="preserve">the </w:t>
      </w:r>
      <w:r w:rsidR="000F61C4">
        <w:t>three stages</w:t>
      </w:r>
      <w:r w:rsidR="00722C26">
        <w:t xml:space="preserve"> </w:t>
      </w:r>
      <w:r w:rsidR="000F61C4">
        <w:t>described in the article and in the previous section</w:t>
      </w:r>
      <w:r w:rsidR="00F06599">
        <w:t xml:space="preserve">. </w:t>
      </w:r>
      <w:r w:rsidR="00913CD4">
        <w:t xml:space="preserve">Basically, the same observations </w:t>
      </w:r>
      <w:r w:rsidR="00722C26">
        <w:t xml:space="preserve">can be made </w:t>
      </w:r>
      <w:r w:rsidR="00913CD4">
        <w:t xml:space="preserve">during the stage IIIB as for the other samples, with densification and thickening of twin lamellae (Figure 3E). </w:t>
      </w:r>
      <w:r w:rsidR="00464A1E">
        <w:t xml:space="preserve">Importantly, the present and the previous </w:t>
      </w:r>
      <w:proofErr w:type="spellStart"/>
      <w:r w:rsidR="00913CD4">
        <w:t>Spath</w:t>
      </w:r>
      <w:proofErr w:type="spellEnd"/>
      <w:r w:rsidR="00913CD4">
        <w:t xml:space="preserve"> </w:t>
      </w:r>
      <w:r w:rsidR="00464A1E">
        <w:t>sample</w:t>
      </w:r>
      <w:r w:rsidR="00913CD4">
        <w:t>s</w:t>
      </w:r>
      <w:r w:rsidR="00464A1E">
        <w:t xml:space="preserve"> exhibit </w:t>
      </w:r>
      <w:r w:rsidR="00913CD4">
        <w:t>very similar</w:t>
      </w:r>
      <w:r w:rsidR="00464A1E">
        <w:t xml:space="preserve"> loading curves</w:t>
      </w:r>
      <w:r w:rsidR="00315ABF">
        <w:t>, with approximately the same finite strains and flow stresses at each stage</w:t>
      </w:r>
      <w:r w:rsidR="00464A1E">
        <w:t xml:space="preserve">. </w:t>
      </w:r>
      <w:r w:rsidR="00F06599">
        <w:t>The most striking point is that the sample do</w:t>
      </w:r>
      <w:r w:rsidR="00722C26">
        <w:t>es</w:t>
      </w:r>
      <w:r w:rsidR="00F06599">
        <w:t xml:space="preserve"> not show any evidence of micro-</w:t>
      </w:r>
      <w:r w:rsidR="00913CD4">
        <w:t xml:space="preserve">fracturing at any stage of </w:t>
      </w:r>
      <w:r w:rsidR="00F06599">
        <w:t xml:space="preserve">the deformation process. </w:t>
      </w:r>
      <w:r w:rsidR="00580D7E">
        <w:t xml:space="preserve">The specimen remains </w:t>
      </w:r>
      <w:r w:rsidR="0085532F" w:rsidRPr="0085532F">
        <w:t xml:space="preserve">intact </w:t>
      </w:r>
      <w:r w:rsidR="00AF6A2E">
        <w:t>and the twinning planes define a well locali</w:t>
      </w:r>
      <w:r w:rsidR="00722C26">
        <w:t>z</w:t>
      </w:r>
      <w:r w:rsidR="00AF6A2E">
        <w:t>ed deformati</w:t>
      </w:r>
      <w:r w:rsidR="002D2494">
        <w:t>on band across the whole sample.</w:t>
      </w:r>
      <w:r w:rsidR="00AF6A2E">
        <w:t xml:space="preserve"> </w:t>
      </w:r>
      <w:r w:rsidR="00913CD4">
        <w:t xml:space="preserve">Though, the flow stresses remain very comparable for both the present and previous samples, which indicates for the latter that the micro-fracturing may not have played a dominant </w:t>
      </w:r>
      <w:r w:rsidR="00A8436E">
        <w:t>mechanical</w:t>
      </w:r>
      <w:r w:rsidR="00722C26">
        <w:t xml:space="preserve"> </w:t>
      </w:r>
      <w:r w:rsidR="00913CD4">
        <w:t>role.</w:t>
      </w:r>
      <w:r w:rsidR="00F06599">
        <w:t xml:space="preserve">  </w:t>
      </w:r>
    </w:p>
    <w:p w:rsidR="0075548B" w:rsidRPr="00376D06" w:rsidRDefault="0075548B" w:rsidP="00376D06">
      <w:r>
        <w:lastRenderedPageBreak/>
        <w:t xml:space="preserve">It has been possible to proceed to an EBSD analysis to get the orientation of the host crystal lattice and also of the twinned part. The </w:t>
      </w:r>
      <w:proofErr w:type="spellStart"/>
      <w:r>
        <w:t>Schmid</w:t>
      </w:r>
      <w:proofErr w:type="spellEnd"/>
      <w:r>
        <w:t xml:space="preserve"> factor calculated using the EBSD data is 0.16. The applied stress at the appearance of the first twin lamella is 29.7 </w:t>
      </w:r>
      <w:proofErr w:type="spellStart"/>
      <w:r>
        <w:t>MPa</w:t>
      </w:r>
      <w:proofErr w:type="spellEnd"/>
      <w:r>
        <w:t xml:space="preserve">. </w:t>
      </w:r>
      <w:r w:rsidR="000B49B7">
        <w:t>Accordingly</w:t>
      </w:r>
      <w:r>
        <w:t>, the CRSS value is calculated at about 5.87 MPa</w:t>
      </w:r>
      <w:r w:rsidR="000B49B7">
        <w:t>, which is substantially higher (10 times) than the CRSS calculated for synthetic crystals</w:t>
      </w:r>
      <w:r>
        <w:t>.</w:t>
      </w:r>
      <w:r w:rsidR="000B49B7">
        <w:t xml:space="preserve"> The differences in terms of sample integrity between different </w:t>
      </w:r>
      <w:proofErr w:type="spellStart"/>
      <w:r w:rsidR="000B49B7">
        <w:t>Spath</w:t>
      </w:r>
      <w:proofErr w:type="spellEnd"/>
      <w:r w:rsidR="000B49B7">
        <w:t xml:space="preserve"> specimens and in terms of CRSS between </w:t>
      </w:r>
      <w:proofErr w:type="spellStart"/>
      <w:r w:rsidR="000B49B7">
        <w:t>Spath</w:t>
      </w:r>
      <w:proofErr w:type="spellEnd"/>
      <w:r w:rsidR="000B49B7">
        <w:t xml:space="preserve"> and synthetic single crystals can easily be related to different initial states.  In the former</w:t>
      </w:r>
      <w:r w:rsidR="000B49B7" w:rsidRPr="000B49B7">
        <w:t xml:space="preserve"> </w:t>
      </w:r>
      <w:r w:rsidR="000B49B7">
        <w:t xml:space="preserve">natural </w:t>
      </w:r>
      <w:proofErr w:type="spellStart"/>
      <w:r w:rsidR="000B49B7">
        <w:t>Spath</w:t>
      </w:r>
      <w:proofErr w:type="spellEnd"/>
      <w:r w:rsidR="00E94500">
        <w:t>,</w:t>
      </w:r>
      <w:r w:rsidR="000B49B7">
        <w:t xml:space="preserve"> the presence of pre-existing </w:t>
      </w:r>
      <w:r w:rsidR="00433A6A">
        <w:t xml:space="preserve">crystal </w:t>
      </w:r>
      <w:r w:rsidR="000B49B7">
        <w:t xml:space="preserve">defects </w:t>
      </w:r>
      <w:r w:rsidR="00433A6A">
        <w:t>(</w:t>
      </w:r>
      <w:r w:rsidR="000B49B7">
        <w:t xml:space="preserve">as for instance undetected twins, micro-fluid inclusions, </w:t>
      </w:r>
      <w:r w:rsidR="00433A6A">
        <w:t xml:space="preserve">higher dislocation densities…) cannot be </w:t>
      </w:r>
      <w:r w:rsidR="00722C26">
        <w:t>ex</w:t>
      </w:r>
      <w:r w:rsidR="00433A6A">
        <w:t>cluded.</w:t>
      </w:r>
    </w:p>
    <w:p w:rsidR="00F5258E" w:rsidRDefault="00F5258E" w:rsidP="003D5288"/>
    <w:p w:rsidR="00F5258E" w:rsidRDefault="009971D6" w:rsidP="00934E95">
      <w:pPr>
        <w:jc w:val="center"/>
      </w:pPr>
      <w:r>
        <w:rPr>
          <w:noProof/>
          <w:lang w:val="fr-FR" w:eastAsia="fr-FR"/>
        </w:rPr>
        <w:drawing>
          <wp:inline distT="0" distB="0" distL="0" distR="0">
            <wp:extent cx="5577623" cy="4964001"/>
            <wp:effectExtent l="0" t="0" r="4445"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x4x8_0110.jpg"/>
                    <pic:cNvPicPr/>
                  </pic:nvPicPr>
                  <pic:blipFill>
                    <a:blip r:embed="rId8">
                      <a:extLst>
                        <a:ext uri="{28A0092B-C50C-407E-A947-70E740481C1C}">
                          <a14:useLocalDpi xmlns:a14="http://schemas.microsoft.com/office/drawing/2010/main" val="0"/>
                        </a:ext>
                      </a:extLst>
                    </a:blip>
                    <a:stretch>
                      <a:fillRect/>
                    </a:stretch>
                  </pic:blipFill>
                  <pic:spPr>
                    <a:xfrm>
                      <a:off x="0" y="0"/>
                      <a:ext cx="5599528" cy="4983496"/>
                    </a:xfrm>
                    <a:prstGeom prst="rect">
                      <a:avLst/>
                    </a:prstGeom>
                  </pic:spPr>
                </pic:pic>
              </a:graphicData>
            </a:graphic>
          </wp:inline>
        </w:drawing>
      </w:r>
    </w:p>
    <w:p w:rsidR="003A4FB4" w:rsidRDefault="003A4FB4" w:rsidP="00934E95">
      <w:pPr>
        <w:pStyle w:val="Lgende"/>
      </w:pPr>
      <w:r>
        <w:t xml:space="preserve">Figure </w:t>
      </w:r>
      <w:fldSimple w:instr=" SEQ Figure \* ARABIC ">
        <w:r w:rsidR="003118C8">
          <w:rPr>
            <w:noProof/>
          </w:rPr>
          <w:t>1</w:t>
        </w:r>
      </w:fldSimple>
      <w:r>
        <w:t xml:space="preserve">: </w:t>
      </w:r>
      <w:r w:rsidR="00934E95">
        <w:t>Results from sample 4 x 4 x 8 mm</w:t>
      </w:r>
      <w:r w:rsidR="00934E95" w:rsidRPr="00934E95">
        <w:rPr>
          <w:vertAlign w:val="superscript"/>
        </w:rPr>
        <w:t>3</w:t>
      </w:r>
      <w:r w:rsidR="00934E95">
        <w:t xml:space="preserve"> compressed along the </w:t>
      </w:r>
      <w:proofErr w:type="gramStart"/>
      <w:r w:rsidR="00934E95">
        <w:t xml:space="preserve">direction </w:t>
      </w:r>
      <w:proofErr w:type="gramEnd"/>
      <m:oMath>
        <m:d>
          <m:dPr>
            <m:begChr m:val="["/>
            <m:endChr m:val="]"/>
            <m:ctrlPr>
              <w:rPr>
                <w:rFonts w:ascii="Cambria Math" w:hAnsi="Cambria Math"/>
                <w:i/>
              </w:rPr>
            </m:ctrlPr>
          </m:dPr>
          <m:e>
            <m:r>
              <m:rPr>
                <m:sty m:val="bi"/>
              </m:rPr>
              <w:rPr>
                <w:rFonts w:ascii="Cambria Math" w:hAnsi="Cambria Math"/>
              </w:rPr>
              <m:t>2</m:t>
            </m:r>
            <m:acc>
              <m:accPr>
                <m:chr m:val="̅"/>
                <m:ctrlPr>
                  <w:rPr>
                    <w:rFonts w:ascii="Cambria Math" w:hAnsi="Cambria Math"/>
                    <w:i/>
                  </w:rPr>
                </m:ctrlPr>
              </m:accPr>
              <m:e>
                <m:r>
                  <m:rPr>
                    <m:sty m:val="bi"/>
                  </m:rPr>
                  <w:rPr>
                    <w:rFonts w:ascii="Cambria Math" w:hAnsi="Cambria Math"/>
                  </w:rPr>
                  <m:t>1</m:t>
                </m:r>
              </m:e>
            </m:acc>
            <m:acc>
              <m:accPr>
                <m:chr m:val="̅"/>
                <m:ctrlPr>
                  <w:rPr>
                    <w:rFonts w:ascii="Cambria Math" w:hAnsi="Cambria Math"/>
                    <w:i/>
                  </w:rPr>
                </m:ctrlPr>
              </m:accPr>
              <m:e>
                <m:r>
                  <m:rPr>
                    <m:sty m:val="bi"/>
                  </m:rPr>
                  <w:rPr>
                    <w:rFonts w:ascii="Cambria Math" w:hAnsi="Cambria Math"/>
                  </w:rPr>
                  <m:t>1</m:t>
                </m:r>
              </m:e>
            </m:acc>
            <m:r>
              <m:rPr>
                <m:sty m:val="bi"/>
              </m:rPr>
              <w:rPr>
                <w:rFonts w:ascii="Cambria Math" w:hAnsi="Cambria Math"/>
              </w:rPr>
              <m:t>0</m:t>
            </m:r>
          </m:e>
        </m:d>
      </m:oMath>
      <w:r w:rsidR="00934E95">
        <w:t xml:space="preserve">. Stress (MPa) versus strain (%) curve showing the three stages described in the </w:t>
      </w:r>
      <w:r w:rsidR="00CA3493">
        <w:t>article</w:t>
      </w:r>
      <w:r w:rsidR="00934E95">
        <w:t>. Between the blue and orange curves, the sample has been removed from the press in order to determine the orientation of the first twin lamella. Each star on the curves corresponds to one of the high-resolution pictures below. In the different pictures, the twin lamella</w:t>
      </w:r>
      <w:r w:rsidR="00722C26">
        <w:t>e</w:t>
      </w:r>
      <w:r w:rsidR="00934E95">
        <w:t xml:space="preserve"> are in light green </w:t>
      </w:r>
      <w:proofErr w:type="spellStart"/>
      <w:r w:rsidR="00934E95">
        <w:t>color</w:t>
      </w:r>
      <w:proofErr w:type="spellEnd"/>
      <w:r w:rsidR="00934E95">
        <w:t xml:space="preserve">. Fractures are in pink </w:t>
      </w:r>
      <w:proofErr w:type="spellStart"/>
      <w:r w:rsidR="00934E95">
        <w:t>color</w:t>
      </w:r>
      <w:proofErr w:type="spellEnd"/>
      <w:r w:rsidR="00934E95">
        <w:t>.</w:t>
      </w:r>
    </w:p>
    <w:p w:rsidR="00CA3493" w:rsidRDefault="009971D6" w:rsidP="00CA3493">
      <w:r>
        <w:rPr>
          <w:noProof/>
          <w:lang w:val="fr-FR" w:eastAsia="fr-FR"/>
        </w:rPr>
        <w:lastRenderedPageBreak/>
        <w:drawing>
          <wp:anchor distT="0" distB="0" distL="114300" distR="114300" simplePos="0" relativeHeight="251658240" behindDoc="0" locked="0" layoutInCell="1" allowOverlap="1" wp14:anchorId="278380BF" wp14:editId="7AEED688">
            <wp:simplePos x="0" y="0"/>
            <wp:positionH relativeFrom="margin">
              <wp:posOffset>26035</wp:posOffset>
            </wp:positionH>
            <wp:positionV relativeFrom="margin">
              <wp:posOffset>5715</wp:posOffset>
            </wp:positionV>
            <wp:extent cx="3418205" cy="743140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418205" cy="7431405"/>
                    </a:xfrm>
                    <a:prstGeom prst="rect">
                      <a:avLst/>
                    </a:prstGeom>
                  </pic:spPr>
                </pic:pic>
              </a:graphicData>
            </a:graphic>
            <wp14:sizeRelH relativeFrom="margin">
              <wp14:pctWidth>0</wp14:pctWidth>
            </wp14:sizeRelH>
          </wp:anchor>
        </w:drawing>
      </w:r>
    </w:p>
    <w:p w:rsidR="00FF7EDA" w:rsidRDefault="00FF7EDA" w:rsidP="00CA3493">
      <w:pPr>
        <w:pStyle w:val="Lgende"/>
      </w:pPr>
    </w:p>
    <w:p w:rsidR="00FF7EDA" w:rsidRDefault="00FF7EDA" w:rsidP="00CA3493">
      <w:pPr>
        <w:pStyle w:val="Lgende"/>
      </w:pPr>
    </w:p>
    <w:p w:rsidR="00FF7EDA" w:rsidRDefault="00FF7EDA" w:rsidP="00CA3493">
      <w:pPr>
        <w:pStyle w:val="Lgende"/>
      </w:pPr>
    </w:p>
    <w:p w:rsidR="00FF7EDA" w:rsidRDefault="00FF7EDA" w:rsidP="00CA3493">
      <w:pPr>
        <w:pStyle w:val="Lgende"/>
      </w:pPr>
    </w:p>
    <w:p w:rsidR="00CA3493" w:rsidRPr="009971D6" w:rsidRDefault="00CA3493" w:rsidP="00CA3493">
      <w:pPr>
        <w:pStyle w:val="Lgende"/>
      </w:pPr>
      <w:r>
        <w:t>Figure 2: Results from sample Pita. Stress (MPa) versus strain (%) curve showing the three stages described in the article. Each red point on the curves corresponds to one of the high-resolution pictures below. In the different pictures, the twin lamella</w:t>
      </w:r>
      <w:bookmarkStart w:id="0" w:name="_GoBack"/>
      <w:r w:rsidR="00722C26">
        <w:t>e</w:t>
      </w:r>
      <w:bookmarkEnd w:id="0"/>
      <w:r>
        <w:t xml:space="preserve"> are in light green </w:t>
      </w:r>
      <w:proofErr w:type="spellStart"/>
      <w:r>
        <w:t>color</w:t>
      </w:r>
      <w:proofErr w:type="spellEnd"/>
      <w:r>
        <w:t xml:space="preserve">. </w:t>
      </w:r>
      <w:r w:rsidRPr="009971D6">
        <w:t xml:space="preserve">Fractures are in pink </w:t>
      </w:r>
      <w:proofErr w:type="spellStart"/>
      <w:r w:rsidRPr="009971D6">
        <w:t>color</w:t>
      </w:r>
      <w:proofErr w:type="spellEnd"/>
      <w:r w:rsidRPr="009971D6">
        <w:t>.</w:t>
      </w:r>
    </w:p>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EB7CBA" w:rsidP="00EB7CBA"/>
    <w:p w:rsidR="00EB7CBA" w:rsidRPr="009971D6" w:rsidRDefault="009971D6" w:rsidP="00EB7CBA">
      <w:r>
        <w:rPr>
          <w:noProof/>
          <w:lang w:val="fr-FR" w:eastAsia="fr-FR"/>
        </w:rPr>
        <w:lastRenderedPageBreak/>
        <w:drawing>
          <wp:anchor distT="0" distB="0" distL="114300" distR="114300" simplePos="0" relativeHeight="251659264" behindDoc="0" locked="0" layoutInCell="1" allowOverlap="1" wp14:anchorId="2729CBF7" wp14:editId="09828ABD">
            <wp:simplePos x="0" y="0"/>
            <wp:positionH relativeFrom="margin">
              <wp:posOffset>-272415</wp:posOffset>
            </wp:positionH>
            <wp:positionV relativeFrom="margin">
              <wp:posOffset>-1905</wp:posOffset>
            </wp:positionV>
            <wp:extent cx="3274060" cy="7431405"/>
            <wp:effectExtent l="0" t="0" r="254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3274060" cy="7431405"/>
                    </a:xfrm>
                    <a:prstGeom prst="rect">
                      <a:avLst/>
                    </a:prstGeom>
                  </pic:spPr>
                </pic:pic>
              </a:graphicData>
            </a:graphic>
            <wp14:sizeRelH relativeFrom="margin">
              <wp14:pctWidth>0</wp14:pctWidth>
            </wp14:sizeRelH>
          </wp:anchor>
        </w:drawing>
      </w:r>
    </w:p>
    <w:p w:rsidR="00EB7CBA" w:rsidRPr="009971D6" w:rsidRDefault="00EB7CBA" w:rsidP="00EB7CBA"/>
    <w:p w:rsidR="00EB7CBA" w:rsidRPr="009971D6" w:rsidRDefault="00EB7CBA" w:rsidP="00EB7CBA"/>
    <w:p w:rsidR="00EB7CBA" w:rsidRPr="009971D6" w:rsidRDefault="00EB7CBA" w:rsidP="00EB7CBA"/>
    <w:p w:rsidR="00FF7EDA" w:rsidRPr="009971D6" w:rsidRDefault="00FF7EDA" w:rsidP="00EB7CBA">
      <w:pPr>
        <w:pStyle w:val="Lgende"/>
      </w:pPr>
    </w:p>
    <w:p w:rsidR="00FF7EDA" w:rsidRPr="009971D6" w:rsidRDefault="00FF7EDA" w:rsidP="00EB7CBA">
      <w:pPr>
        <w:pStyle w:val="Lgende"/>
      </w:pPr>
    </w:p>
    <w:p w:rsidR="00EB7CBA" w:rsidRPr="009971D6" w:rsidRDefault="00EB7CBA" w:rsidP="00EB7CBA">
      <w:pPr>
        <w:pStyle w:val="Lgende"/>
      </w:pPr>
      <w:r>
        <w:t>Figure 3: Results from sample Johnny. Stress (MPa) versus strain (%) curve showing the three stages described in the article. Each red point on the curves corresponds to one of the high-resolution pictures below. In the different pictures, the twin lamella</w:t>
      </w:r>
      <w:r w:rsidR="00722C26">
        <w:t>e</w:t>
      </w:r>
      <w:r>
        <w:t xml:space="preserve"> are in light green </w:t>
      </w:r>
      <w:proofErr w:type="spellStart"/>
      <w:r>
        <w:t>color</w:t>
      </w:r>
      <w:proofErr w:type="spellEnd"/>
      <w:r>
        <w:t xml:space="preserve">. </w:t>
      </w:r>
      <w:r w:rsidRPr="009971D6">
        <w:t xml:space="preserve">Fractures are in pink </w:t>
      </w:r>
      <w:proofErr w:type="spellStart"/>
      <w:r w:rsidRPr="009971D6">
        <w:t>color</w:t>
      </w:r>
      <w:proofErr w:type="spellEnd"/>
      <w:r w:rsidRPr="009971D6">
        <w:t>.</w:t>
      </w:r>
    </w:p>
    <w:p w:rsidR="00CA3493" w:rsidRPr="009971D6" w:rsidRDefault="00CA3493" w:rsidP="00CA3493"/>
    <w:sectPr w:rsidR="00CA3493" w:rsidRPr="009971D6" w:rsidSect="0091791F">
      <w:footerReference w:type="default" r:id="rId11"/>
      <w:pgSz w:w="11907" w:h="13608"/>
      <w:pgMar w:top="567" w:right="936" w:bottom="1338" w:left="936" w:header="0" w:footer="737" w:gutter="0"/>
      <w:lnNumType w:countBy="5" w:distance="2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6FE" w:rsidRDefault="006266FE" w:rsidP="006D0C96">
      <w:pPr>
        <w:spacing w:line="240" w:lineRule="auto"/>
      </w:pPr>
      <w:r>
        <w:separator/>
      </w:r>
    </w:p>
  </w:endnote>
  <w:endnote w:type="continuationSeparator" w:id="0">
    <w:p w:rsidR="006266FE" w:rsidRDefault="006266FE"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788171"/>
      <w:docPartObj>
        <w:docPartGallery w:val="Page Numbers (Bottom of Page)"/>
        <w:docPartUnique/>
      </w:docPartObj>
    </w:sdtPr>
    <w:sdtEndPr>
      <w:rPr>
        <w:noProof/>
      </w:rPr>
    </w:sdtEndPr>
    <w:sdtContent>
      <w:p w:rsidR="006D0C96" w:rsidRDefault="006D0C96">
        <w:pPr>
          <w:pStyle w:val="Pieddepage"/>
          <w:jc w:val="center"/>
        </w:pPr>
        <w:r>
          <w:fldChar w:fldCharType="begin"/>
        </w:r>
        <w:r>
          <w:instrText xml:space="preserve"> PAGE   \* MERGEFORMAT </w:instrText>
        </w:r>
        <w:r>
          <w:fldChar w:fldCharType="separate"/>
        </w:r>
        <w:r w:rsidR="00D51168">
          <w:rPr>
            <w:noProof/>
          </w:rPr>
          <w:t>4</w:t>
        </w:r>
        <w:r>
          <w:rPr>
            <w:noProof/>
          </w:rPr>
          <w:fldChar w:fldCharType="end"/>
        </w:r>
      </w:p>
    </w:sdtContent>
  </w:sdt>
  <w:p w:rsidR="006D0C96" w:rsidRDefault="006D0C9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6FE" w:rsidRDefault="006266FE" w:rsidP="006D0C96">
      <w:pPr>
        <w:spacing w:line="240" w:lineRule="auto"/>
      </w:pPr>
      <w:r>
        <w:separator/>
      </w:r>
    </w:p>
  </w:footnote>
  <w:footnote w:type="continuationSeparator" w:id="0">
    <w:p w:rsidR="006266FE" w:rsidRDefault="006266FE" w:rsidP="006D0C9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attachedTemplate r:id="rId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213"/>
    <w:rsid w:val="0000085C"/>
    <w:rsid w:val="00013190"/>
    <w:rsid w:val="00027A3D"/>
    <w:rsid w:val="0005690A"/>
    <w:rsid w:val="00075F28"/>
    <w:rsid w:val="00082819"/>
    <w:rsid w:val="00085F88"/>
    <w:rsid w:val="000A1B66"/>
    <w:rsid w:val="000A2B5D"/>
    <w:rsid w:val="000A6EB3"/>
    <w:rsid w:val="000B49B7"/>
    <w:rsid w:val="000C3A9F"/>
    <w:rsid w:val="000C4377"/>
    <w:rsid w:val="000F61C4"/>
    <w:rsid w:val="00131D96"/>
    <w:rsid w:val="0014516E"/>
    <w:rsid w:val="00173997"/>
    <w:rsid w:val="001C5EB9"/>
    <w:rsid w:val="001D4EE4"/>
    <w:rsid w:val="001D7FC9"/>
    <w:rsid w:val="001F607B"/>
    <w:rsid w:val="00203F92"/>
    <w:rsid w:val="00224AE9"/>
    <w:rsid w:val="00280B54"/>
    <w:rsid w:val="002913D7"/>
    <w:rsid w:val="002D2494"/>
    <w:rsid w:val="003118C8"/>
    <w:rsid w:val="00315ABF"/>
    <w:rsid w:val="00376D06"/>
    <w:rsid w:val="003801D6"/>
    <w:rsid w:val="00392037"/>
    <w:rsid w:val="003A4FB4"/>
    <w:rsid w:val="003B3A42"/>
    <w:rsid w:val="003C1F56"/>
    <w:rsid w:val="003C41D5"/>
    <w:rsid w:val="003D1091"/>
    <w:rsid w:val="003D5288"/>
    <w:rsid w:val="00433A6A"/>
    <w:rsid w:val="00450DB9"/>
    <w:rsid w:val="004604F9"/>
    <w:rsid w:val="00463568"/>
    <w:rsid w:val="00464A1E"/>
    <w:rsid w:val="0047178A"/>
    <w:rsid w:val="00493527"/>
    <w:rsid w:val="00494DD3"/>
    <w:rsid w:val="004A214E"/>
    <w:rsid w:val="004A3818"/>
    <w:rsid w:val="004A4BB6"/>
    <w:rsid w:val="004B156E"/>
    <w:rsid w:val="004C6FF7"/>
    <w:rsid w:val="004D0F1A"/>
    <w:rsid w:val="004E0766"/>
    <w:rsid w:val="0050761F"/>
    <w:rsid w:val="00521F7C"/>
    <w:rsid w:val="005519D6"/>
    <w:rsid w:val="0055217B"/>
    <w:rsid w:val="00553CE8"/>
    <w:rsid w:val="005540C4"/>
    <w:rsid w:val="00564213"/>
    <w:rsid w:val="00564EBB"/>
    <w:rsid w:val="00580D7E"/>
    <w:rsid w:val="005A4F32"/>
    <w:rsid w:val="005C655B"/>
    <w:rsid w:val="005C7578"/>
    <w:rsid w:val="005D642D"/>
    <w:rsid w:val="005E1455"/>
    <w:rsid w:val="00605C6B"/>
    <w:rsid w:val="006266FE"/>
    <w:rsid w:val="0063024A"/>
    <w:rsid w:val="006326D7"/>
    <w:rsid w:val="006633FE"/>
    <w:rsid w:val="00670F05"/>
    <w:rsid w:val="006755C7"/>
    <w:rsid w:val="00681D4B"/>
    <w:rsid w:val="00690E87"/>
    <w:rsid w:val="006D0C96"/>
    <w:rsid w:val="006E06E8"/>
    <w:rsid w:val="006E2C1D"/>
    <w:rsid w:val="006E5C03"/>
    <w:rsid w:val="00702A94"/>
    <w:rsid w:val="0070537F"/>
    <w:rsid w:val="007143DB"/>
    <w:rsid w:val="00722C26"/>
    <w:rsid w:val="00745434"/>
    <w:rsid w:val="00751A44"/>
    <w:rsid w:val="0075548B"/>
    <w:rsid w:val="00781F0F"/>
    <w:rsid w:val="007820B7"/>
    <w:rsid w:val="007879B4"/>
    <w:rsid w:val="00795F7A"/>
    <w:rsid w:val="00796A7F"/>
    <w:rsid w:val="007B010A"/>
    <w:rsid w:val="007C4D93"/>
    <w:rsid w:val="00807C97"/>
    <w:rsid w:val="00843D3E"/>
    <w:rsid w:val="00855006"/>
    <w:rsid w:val="0085532F"/>
    <w:rsid w:val="0086194A"/>
    <w:rsid w:val="008756B9"/>
    <w:rsid w:val="00891590"/>
    <w:rsid w:val="008B6744"/>
    <w:rsid w:val="008B719F"/>
    <w:rsid w:val="008E213F"/>
    <w:rsid w:val="008E3110"/>
    <w:rsid w:val="009071C1"/>
    <w:rsid w:val="00913CD4"/>
    <w:rsid w:val="009150E4"/>
    <w:rsid w:val="0091791F"/>
    <w:rsid w:val="00932F15"/>
    <w:rsid w:val="00934E95"/>
    <w:rsid w:val="00943440"/>
    <w:rsid w:val="00970660"/>
    <w:rsid w:val="0097313F"/>
    <w:rsid w:val="009971D6"/>
    <w:rsid w:val="009B6D7D"/>
    <w:rsid w:val="009D38E2"/>
    <w:rsid w:val="009F138D"/>
    <w:rsid w:val="009F2C0A"/>
    <w:rsid w:val="00A126D5"/>
    <w:rsid w:val="00A26C04"/>
    <w:rsid w:val="00A34C1F"/>
    <w:rsid w:val="00A46FFE"/>
    <w:rsid w:val="00A67244"/>
    <w:rsid w:val="00A8436E"/>
    <w:rsid w:val="00AE4157"/>
    <w:rsid w:val="00AF1660"/>
    <w:rsid w:val="00AF6A2E"/>
    <w:rsid w:val="00B4015F"/>
    <w:rsid w:val="00B5719D"/>
    <w:rsid w:val="00B70C77"/>
    <w:rsid w:val="00B75342"/>
    <w:rsid w:val="00B94A58"/>
    <w:rsid w:val="00BA7543"/>
    <w:rsid w:val="00BD0523"/>
    <w:rsid w:val="00C0657B"/>
    <w:rsid w:val="00C11322"/>
    <w:rsid w:val="00C1589F"/>
    <w:rsid w:val="00C26311"/>
    <w:rsid w:val="00C35812"/>
    <w:rsid w:val="00C57843"/>
    <w:rsid w:val="00C67478"/>
    <w:rsid w:val="00C72033"/>
    <w:rsid w:val="00C82F79"/>
    <w:rsid w:val="00CA3493"/>
    <w:rsid w:val="00CA3B0B"/>
    <w:rsid w:val="00CC3E5A"/>
    <w:rsid w:val="00CC51D0"/>
    <w:rsid w:val="00CC5A6E"/>
    <w:rsid w:val="00CD55C4"/>
    <w:rsid w:val="00D40CE0"/>
    <w:rsid w:val="00D502AE"/>
    <w:rsid w:val="00D51168"/>
    <w:rsid w:val="00D51A7B"/>
    <w:rsid w:val="00D54E4E"/>
    <w:rsid w:val="00D73465"/>
    <w:rsid w:val="00D95067"/>
    <w:rsid w:val="00DB4E53"/>
    <w:rsid w:val="00DF1921"/>
    <w:rsid w:val="00DF1F14"/>
    <w:rsid w:val="00E0022C"/>
    <w:rsid w:val="00E00339"/>
    <w:rsid w:val="00E142A8"/>
    <w:rsid w:val="00E3231D"/>
    <w:rsid w:val="00E4005C"/>
    <w:rsid w:val="00E53DDB"/>
    <w:rsid w:val="00E572A5"/>
    <w:rsid w:val="00E60FF5"/>
    <w:rsid w:val="00E94500"/>
    <w:rsid w:val="00EB7CBA"/>
    <w:rsid w:val="00ED6B96"/>
    <w:rsid w:val="00EE58C0"/>
    <w:rsid w:val="00EF1C4F"/>
    <w:rsid w:val="00EF2832"/>
    <w:rsid w:val="00F06599"/>
    <w:rsid w:val="00F2200D"/>
    <w:rsid w:val="00F35903"/>
    <w:rsid w:val="00F366C3"/>
    <w:rsid w:val="00F459E6"/>
    <w:rsid w:val="00F5258E"/>
    <w:rsid w:val="00F7571E"/>
    <w:rsid w:val="00F9770C"/>
    <w:rsid w:val="00FD2470"/>
    <w:rsid w:val="00FF308B"/>
    <w:rsid w:val="00FF7ED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4EE157-AB1C-4798-99E5-188826B25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Titre1">
    <w:name w:val="heading 1"/>
    <w:basedOn w:val="Normal"/>
    <w:next w:val="Normal"/>
    <w:link w:val="Titre1Car"/>
    <w:qFormat/>
    <w:rsid w:val="00075F28"/>
    <w:pPr>
      <w:keepNext/>
      <w:spacing w:before="480" w:after="240" w:line="240" w:lineRule="auto"/>
      <w:outlineLvl w:val="0"/>
    </w:pPr>
    <w:rPr>
      <w:rFonts w:cs="Arial"/>
      <w:b/>
      <w:bCs/>
      <w:color w:val="000000"/>
      <w:kern w:val="32"/>
      <w:szCs w:val="32"/>
    </w:rPr>
  </w:style>
  <w:style w:type="paragraph" w:styleId="Titre2">
    <w:name w:val="heading 2"/>
    <w:basedOn w:val="Normal"/>
    <w:next w:val="Normal"/>
    <w:link w:val="Titre2Car"/>
    <w:qFormat/>
    <w:rsid w:val="00E00339"/>
    <w:pPr>
      <w:keepNext/>
      <w:spacing w:before="240" w:after="240" w:line="240" w:lineRule="auto"/>
      <w:outlineLvl w:val="1"/>
    </w:pPr>
    <w:rPr>
      <w:rFonts w:cs="Arial"/>
      <w:b/>
      <w:bCs/>
      <w:iCs/>
      <w:szCs w:val="28"/>
    </w:rPr>
  </w:style>
  <w:style w:type="paragraph" w:styleId="Titre3">
    <w:name w:val="heading 3"/>
    <w:basedOn w:val="Normal"/>
    <w:next w:val="Normal"/>
    <w:link w:val="Titre3Car"/>
    <w:qFormat/>
    <w:rsid w:val="005A4F32"/>
    <w:pPr>
      <w:keepNext/>
      <w:spacing w:before="240" w:after="240" w:line="240" w:lineRule="auto"/>
      <w:outlineLvl w:val="2"/>
    </w:pPr>
    <w:rPr>
      <w:rFonts w:cs="Arial"/>
      <w:b/>
      <w:bCs/>
      <w:szCs w:val="26"/>
    </w:rPr>
  </w:style>
  <w:style w:type="paragraph" w:styleId="Titre4">
    <w:name w:val="heading 4"/>
    <w:basedOn w:val="Normal"/>
    <w:next w:val="Normal"/>
    <w:link w:val="Titre4Car"/>
    <w:rsid w:val="00ED6B96"/>
    <w:pPr>
      <w:keepNext/>
      <w:outlineLvl w:val="3"/>
    </w:pPr>
    <w:rPr>
      <w:b/>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auNormal"/>
    <w:rsid w:val="00ED6B96"/>
    <w:rPr>
      <w:rFonts w:ascii="Verdana" w:eastAsia="Times New Roman" w:hAnsi="Verdana"/>
      <w:sz w:val="19"/>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En-tte">
    <w:name w:val="header"/>
    <w:basedOn w:val="Normal"/>
    <w:link w:val="En-tteCar"/>
    <w:rsid w:val="00ED6B96"/>
    <w:pPr>
      <w:tabs>
        <w:tab w:val="center" w:pos="4536"/>
        <w:tab w:val="right" w:pos="9072"/>
      </w:tabs>
    </w:pPr>
  </w:style>
  <w:style w:type="character" w:customStyle="1" w:styleId="Titre1Car">
    <w:name w:val="Titre 1 Car"/>
    <w:link w:val="Titre1"/>
    <w:rsid w:val="00075F28"/>
    <w:rPr>
      <w:rFonts w:ascii="Times New Roman" w:eastAsia="Times New Roman" w:hAnsi="Times New Roman" w:cs="Arial"/>
      <w:b/>
      <w:bCs/>
      <w:color w:val="000000"/>
      <w:kern w:val="32"/>
      <w:szCs w:val="32"/>
      <w:lang w:eastAsia="de-DE"/>
    </w:rPr>
  </w:style>
  <w:style w:type="character" w:customStyle="1" w:styleId="Titre3Car">
    <w:name w:val="Titre 3 Car"/>
    <w:link w:val="Titre3"/>
    <w:rsid w:val="005A4F32"/>
    <w:rPr>
      <w:rFonts w:ascii="Times New Roman" w:eastAsia="Times New Roman" w:hAnsi="Times New Roman" w:cs="Arial"/>
      <w:b/>
      <w:bCs/>
      <w:szCs w:val="26"/>
      <w:lang w:eastAsia="de-DE"/>
    </w:rPr>
  </w:style>
  <w:style w:type="character" w:customStyle="1" w:styleId="Titre4Car">
    <w:name w:val="Titre 4 Car"/>
    <w:link w:val="Titre4"/>
    <w:rsid w:val="00796A7F"/>
    <w:rPr>
      <w:rFonts w:ascii="Verdana" w:eastAsia="Times New Roman" w:hAnsi="Verdana" w:cs="Times New Roman"/>
      <w:b/>
      <w:bCs/>
      <w:sz w:val="19"/>
      <w:szCs w:val="28"/>
      <w:lang w:eastAsia="de-DE"/>
    </w:rPr>
  </w:style>
  <w:style w:type="character" w:customStyle="1" w:styleId="En-tteCar">
    <w:name w:val="En-tête Car"/>
    <w:link w:val="En-tte"/>
    <w:rsid w:val="00ED6B96"/>
    <w:rPr>
      <w:rFonts w:ascii="Verdana" w:eastAsia="Times New Roman" w:hAnsi="Verdana" w:cs="Times New Roman"/>
      <w:sz w:val="19"/>
      <w:szCs w:val="24"/>
      <w:lang w:eastAsia="de-DE"/>
    </w:rPr>
  </w:style>
  <w:style w:type="character" w:customStyle="1" w:styleId="Titre2Car">
    <w:name w:val="Titre 2 Car"/>
    <w:link w:val="Titre2"/>
    <w:rsid w:val="00E00339"/>
    <w:rPr>
      <w:rFonts w:ascii="Times New Roman" w:eastAsia="Times New Roman" w:hAnsi="Times New Roman" w:cs="Arial"/>
      <w:b/>
      <w:bCs/>
      <w:iCs/>
      <w:szCs w:val="28"/>
      <w:lang w:eastAsia="de-DE"/>
    </w:rPr>
  </w:style>
  <w:style w:type="character" w:styleId="Lienhypertexte">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Policepardfaut"/>
    <w:link w:val="CopernicusWordtemplate"/>
    <w:rsid w:val="00B5719D"/>
    <w:rPr>
      <w:rFonts w:ascii="Times New Roman" w:eastAsia="Times New Roman" w:hAnsi="Times New Roman"/>
      <w:sz w:val="24"/>
      <w:szCs w:val="24"/>
      <w:lang w:eastAsia="de-DE"/>
    </w:rPr>
  </w:style>
  <w:style w:type="character" w:styleId="Numrodeligne">
    <w:name w:val="line number"/>
    <w:basedOn w:val="Policepardfau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Paragraphedeliste">
    <w:name w:val="List Paragraph"/>
    <w:basedOn w:val="Normal"/>
    <w:uiPriority w:val="34"/>
    <w:rsid w:val="00B4015F"/>
    <w:pPr>
      <w:ind w:left="720"/>
      <w:contextualSpacing/>
    </w:pPr>
  </w:style>
  <w:style w:type="character" w:customStyle="1" w:styleId="MStitleChar">
    <w:name w:val="MS title Char"/>
    <w:basedOn w:val="Policepardfau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Textedelespacerserv">
    <w:name w:val="Placeholder Text"/>
    <w:basedOn w:val="Policepardfaut"/>
    <w:uiPriority w:val="99"/>
    <w:semiHidden/>
    <w:rsid w:val="003D5288"/>
    <w:rPr>
      <w:color w:val="808080"/>
    </w:rPr>
  </w:style>
  <w:style w:type="character" w:customStyle="1" w:styleId="AffiliationChar">
    <w:name w:val="Affiliation Char"/>
    <w:basedOn w:val="Policepardfaut"/>
    <w:link w:val="Affiliation"/>
    <w:rsid w:val="00450DB9"/>
    <w:rPr>
      <w:rFonts w:ascii="Times New Roman" w:eastAsia="Times New Roman" w:hAnsi="Times New Roman"/>
      <w:szCs w:val="24"/>
      <w:lang w:eastAsia="de-DE"/>
    </w:rPr>
  </w:style>
  <w:style w:type="paragraph" w:styleId="Textedebulles">
    <w:name w:val="Balloon Text"/>
    <w:basedOn w:val="Normal"/>
    <w:link w:val="TextedebullesCar"/>
    <w:uiPriority w:val="99"/>
    <w:semiHidden/>
    <w:unhideWhenUsed/>
    <w:rsid w:val="003D528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Lgende">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Policepardfaut"/>
    <w:link w:val="Equation"/>
    <w:rsid w:val="00C35812"/>
    <w:rPr>
      <w:rFonts w:ascii="Cambria Math" w:eastAsia="Times New Roman" w:hAnsi="Cambria Math"/>
      <w:szCs w:val="24"/>
      <w:lang w:eastAsia="de-DE"/>
    </w:rPr>
  </w:style>
  <w:style w:type="paragraph" w:styleId="Pieddepage">
    <w:name w:val="footer"/>
    <w:basedOn w:val="Normal"/>
    <w:link w:val="PieddepageCar"/>
    <w:uiPriority w:val="99"/>
    <w:unhideWhenUsed/>
    <w:rsid w:val="006D0C96"/>
    <w:pPr>
      <w:tabs>
        <w:tab w:val="center" w:pos="4513"/>
        <w:tab w:val="right" w:pos="9026"/>
      </w:tabs>
      <w:spacing w:line="240" w:lineRule="auto"/>
    </w:pPr>
  </w:style>
  <w:style w:type="character" w:customStyle="1" w:styleId="PieddepageCar">
    <w:name w:val="Pied de page Car"/>
    <w:basedOn w:val="Policepardfaut"/>
    <w:link w:val="Pieddepage"/>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Policepardfau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Policepardfaut"/>
    <w:link w:val="Authors"/>
    <w:rsid w:val="00BD0523"/>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6B"/>
    <w:rsid w:val="0009266B"/>
    <w:rsid w:val="00DB58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266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27F37-65DA-471D-8181-5D8E96997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117</TotalTime>
  <Pages>5</Pages>
  <Words>1329</Words>
  <Characters>7312</Characters>
  <Application>Microsoft Office Word</Application>
  <DocSecurity>0</DocSecurity>
  <Lines>60</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Blank</vt:lpstr>
      <vt:lpstr>Blank</vt:lpstr>
    </vt:vector>
  </TitlesOfParts>
  <Company>Copernicus Gesellschaft mbH</Company>
  <LinksUpToDate>false</LinksUpToDate>
  <CharactersWithSpaces>8624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Camille Parlangeau</cp:lastModifiedBy>
  <cp:revision>8</cp:revision>
  <cp:lastPrinted>2016-02-01T07:21:00Z</cp:lastPrinted>
  <dcterms:created xsi:type="dcterms:W3CDTF">2018-11-28T15:52:00Z</dcterms:created>
  <dcterms:modified xsi:type="dcterms:W3CDTF">2018-11-28T17:49:00Z</dcterms:modified>
</cp:coreProperties>
</file>